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BC" w:rsidRDefault="009D63BC" w:rsidP="009D63BC">
      <w:pPr>
        <w:pStyle w:val="Heading2"/>
      </w:pPr>
      <w:r>
        <w:t>This note deals with</w:t>
      </w:r>
    </w:p>
    <w:p w:rsidR="009D63BC" w:rsidRDefault="009D63BC" w:rsidP="009D63BC">
      <w:pPr>
        <w:pStyle w:val="Heading2"/>
        <w:numPr>
          <w:ilvl w:val="0"/>
          <w:numId w:val="5"/>
        </w:numPr>
      </w:pPr>
      <w:r>
        <w:t>European Union as an institution</w:t>
      </w:r>
    </w:p>
    <w:p w:rsidR="009D63BC" w:rsidRPr="009D63BC" w:rsidRDefault="009D63BC" w:rsidP="009D63BC">
      <w:pPr>
        <w:pStyle w:val="Heading2"/>
        <w:numPr>
          <w:ilvl w:val="0"/>
          <w:numId w:val="5"/>
        </w:numPr>
      </w:pPr>
      <w:r>
        <w:t>India’s relations with EU</w:t>
      </w:r>
      <w:r>
        <w:br w:type="page"/>
      </w:r>
    </w:p>
    <w:p w:rsidR="0046720C" w:rsidRDefault="0046720C" w:rsidP="0046720C">
      <w:pPr>
        <w:pStyle w:val="Heading1"/>
        <w:jc w:val="center"/>
      </w:pPr>
      <w:r>
        <w:lastRenderedPageBreak/>
        <w:t>European Union</w:t>
      </w:r>
    </w:p>
    <w:p w:rsidR="0046720C" w:rsidRDefault="0046720C" w:rsidP="0046720C">
      <w:pPr>
        <w:pStyle w:val="Heading1"/>
      </w:pPr>
    </w:p>
    <w:p w:rsidR="004735DF" w:rsidRDefault="004735DF" w:rsidP="004735DF">
      <w:pPr>
        <w:pStyle w:val="Heading2"/>
      </w:pPr>
      <w:r>
        <w:t>Evolution of EU and major institutions</w:t>
      </w:r>
    </w:p>
    <w:p w:rsidR="00084E66" w:rsidRDefault="004735DF" w:rsidP="004735DF">
      <w:pPr>
        <w:pStyle w:val="ListParagraph"/>
        <w:numPr>
          <w:ilvl w:val="0"/>
          <w:numId w:val="7"/>
        </w:numPr>
      </w:pPr>
      <w:r>
        <w:t>Refer class notes</w:t>
      </w:r>
    </w:p>
    <w:p w:rsidR="00084E66" w:rsidRDefault="00084E66" w:rsidP="00084E66"/>
    <w:p w:rsidR="00207CA5" w:rsidRDefault="00084E66" w:rsidP="00084E66">
      <w:r>
        <w:rPr>
          <w:noProof/>
          <w:lang w:eastAsia="en-IN"/>
        </w:rPr>
        <w:drawing>
          <wp:inline distT="0" distB="0" distL="0" distR="0">
            <wp:extent cx="5721350" cy="2800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A5" w:rsidRDefault="00207CA5" w:rsidP="00084E66">
      <w:proofErr w:type="spellStart"/>
      <w:r>
        <w:t>Schengen</w:t>
      </w:r>
      <w:proofErr w:type="spellEnd"/>
      <w:r>
        <w:t xml:space="preserve"> Area</w:t>
      </w:r>
    </w:p>
    <w:p w:rsidR="007C52B2" w:rsidRDefault="00207CA5" w:rsidP="00207CA5">
      <w:pPr>
        <w:pStyle w:val="ListParagraph"/>
        <w:numPr>
          <w:ilvl w:val="0"/>
          <w:numId w:val="7"/>
        </w:numPr>
      </w:pPr>
      <w:r>
        <w:t>25 countries</w:t>
      </w:r>
    </w:p>
    <w:p w:rsidR="00207509" w:rsidRDefault="007C52B2" w:rsidP="00207CA5">
      <w:pPr>
        <w:pStyle w:val="ListParagraph"/>
        <w:numPr>
          <w:ilvl w:val="0"/>
          <w:numId w:val="7"/>
        </w:numPr>
      </w:pPr>
      <w:proofErr w:type="spellStart"/>
      <w:r>
        <w:t>Schengen</w:t>
      </w:r>
      <w:proofErr w:type="spellEnd"/>
      <w:r>
        <w:t xml:space="preserve"> rules absorbed into European Union law by the Amsterdam Treaty</w:t>
      </w:r>
      <w:r w:rsidR="00207509">
        <w:t xml:space="preserve"> in 1999</w:t>
      </w:r>
    </w:p>
    <w:p w:rsidR="009B79F7" w:rsidRDefault="00207509" w:rsidP="00207CA5">
      <w:pPr>
        <w:pStyle w:val="ListParagraph"/>
        <w:numPr>
          <w:ilvl w:val="0"/>
          <w:numId w:val="7"/>
        </w:numPr>
      </w:pPr>
      <w:r>
        <w:t>Includes three non-EU member states: Iceland, Norway, Switzerland</w:t>
      </w:r>
    </w:p>
    <w:p w:rsidR="00D4695B" w:rsidRDefault="009B79F7" w:rsidP="00207CA5">
      <w:pPr>
        <w:pStyle w:val="ListParagraph"/>
        <w:numPr>
          <w:ilvl w:val="0"/>
          <w:numId w:val="7"/>
        </w:numPr>
      </w:pPr>
      <w:r>
        <w:t>Iceland and UK have opted out of implementing the agreement</w:t>
      </w:r>
    </w:p>
    <w:p w:rsidR="00D4695B" w:rsidRDefault="00D4695B" w:rsidP="00207CA5">
      <w:pPr>
        <w:pStyle w:val="ListParagraph"/>
        <w:numPr>
          <w:ilvl w:val="0"/>
          <w:numId w:val="7"/>
        </w:numPr>
      </w:pPr>
      <w:r>
        <w:t xml:space="preserve">Covers a population of about 400 </w:t>
      </w:r>
      <w:proofErr w:type="spellStart"/>
      <w:r>
        <w:t>mn</w:t>
      </w:r>
      <w:proofErr w:type="spellEnd"/>
      <w:r>
        <w:t xml:space="preserve"> people</w:t>
      </w:r>
    </w:p>
    <w:p w:rsidR="00D4695B" w:rsidRDefault="00D4695B" w:rsidP="00D4695B">
      <w:pPr>
        <w:pStyle w:val="ListParagraph"/>
        <w:numPr>
          <w:ilvl w:val="0"/>
          <w:numId w:val="7"/>
        </w:numPr>
      </w:pPr>
      <w:r>
        <w:t xml:space="preserve">Involves eliminating border controls with other </w:t>
      </w:r>
      <w:proofErr w:type="spellStart"/>
      <w:r>
        <w:t>Schengen</w:t>
      </w:r>
      <w:proofErr w:type="spellEnd"/>
      <w:r>
        <w:t xml:space="preserve"> members while simultaneously strengthening border controls with non-member states</w:t>
      </w:r>
    </w:p>
    <w:p w:rsidR="00D4695B" w:rsidRDefault="00D4695B" w:rsidP="00D4695B">
      <w:pPr>
        <w:pStyle w:val="ListParagraph"/>
        <w:numPr>
          <w:ilvl w:val="0"/>
          <w:numId w:val="7"/>
        </w:numPr>
      </w:pPr>
      <w:r>
        <w:t>Provisions on</w:t>
      </w:r>
    </w:p>
    <w:p w:rsidR="00D4695B" w:rsidRDefault="00D4695B" w:rsidP="00D4695B">
      <w:pPr>
        <w:pStyle w:val="ListParagraph"/>
        <w:numPr>
          <w:ilvl w:val="1"/>
          <w:numId w:val="7"/>
        </w:numPr>
      </w:pPr>
      <w:r>
        <w:t>Temporary entry of persons</w:t>
      </w:r>
    </w:p>
    <w:p w:rsidR="00D4695B" w:rsidRDefault="00D4695B" w:rsidP="00D4695B">
      <w:pPr>
        <w:pStyle w:val="ListParagraph"/>
        <w:numPr>
          <w:ilvl w:val="1"/>
          <w:numId w:val="7"/>
        </w:numPr>
      </w:pPr>
      <w:r>
        <w:t>Harmonisation of external border controls</w:t>
      </w:r>
    </w:p>
    <w:p w:rsidR="00D4695B" w:rsidRDefault="00D4695B" w:rsidP="00D4695B">
      <w:pPr>
        <w:pStyle w:val="ListParagraph"/>
        <w:numPr>
          <w:ilvl w:val="1"/>
          <w:numId w:val="7"/>
        </w:numPr>
      </w:pPr>
      <w:r>
        <w:t>Cross-border police</w:t>
      </w:r>
    </w:p>
    <w:p w:rsidR="005D5EF1" w:rsidRDefault="00D4695B" w:rsidP="00D4695B">
      <w:pPr>
        <w:pStyle w:val="ListParagraph"/>
        <w:numPr>
          <w:ilvl w:val="1"/>
          <w:numId w:val="7"/>
        </w:numPr>
      </w:pPr>
      <w:r>
        <w:t>Judicial co-operation</w:t>
      </w:r>
    </w:p>
    <w:p w:rsidR="005D5EF1" w:rsidRDefault="005D5EF1" w:rsidP="005D5EF1"/>
    <w:p w:rsidR="005D5EF1" w:rsidRDefault="005D5EF1" w:rsidP="005D5EF1">
      <w:pPr>
        <w:pStyle w:val="Heading2"/>
      </w:pPr>
      <w:r>
        <w:t>Euro</w:t>
      </w:r>
    </w:p>
    <w:p w:rsidR="005D5EF1" w:rsidRDefault="005D5EF1" w:rsidP="005D5EF1">
      <w:pPr>
        <w:pStyle w:val="ListParagraph"/>
        <w:numPr>
          <w:ilvl w:val="0"/>
          <w:numId w:val="8"/>
        </w:numPr>
      </w:pPr>
      <w:r>
        <w:t>European Currency Unit</w:t>
      </w:r>
    </w:p>
    <w:p w:rsidR="005D5EF1" w:rsidRDefault="005D5EF1" w:rsidP="005D5EF1">
      <w:pPr>
        <w:pStyle w:val="ListParagraph"/>
        <w:numPr>
          <w:ilvl w:val="1"/>
          <w:numId w:val="8"/>
        </w:numPr>
      </w:pPr>
      <w:r>
        <w:t>Precursor of Euro</w:t>
      </w:r>
    </w:p>
    <w:p w:rsidR="005D5EF1" w:rsidRDefault="005D5EF1" w:rsidP="005D5EF1">
      <w:pPr>
        <w:pStyle w:val="ListParagraph"/>
        <w:numPr>
          <w:ilvl w:val="1"/>
          <w:numId w:val="8"/>
        </w:numPr>
      </w:pPr>
      <w:r>
        <w:lastRenderedPageBreak/>
        <w:t>A basket of the currencies of European Community member states, that was used as the unit of account of the European Community</w:t>
      </w:r>
    </w:p>
    <w:p w:rsidR="005D5EF1" w:rsidRDefault="005D5EF1" w:rsidP="005D5EF1">
      <w:pPr>
        <w:pStyle w:val="ListParagraph"/>
        <w:numPr>
          <w:ilvl w:val="1"/>
          <w:numId w:val="8"/>
        </w:numPr>
      </w:pPr>
      <w:r>
        <w:t>Used since 1979</w:t>
      </w:r>
    </w:p>
    <w:p w:rsidR="005D5EF1" w:rsidRDefault="005D5EF1" w:rsidP="005D5EF1">
      <w:pPr>
        <w:pStyle w:val="ListParagraph"/>
        <w:numPr>
          <w:ilvl w:val="1"/>
          <w:numId w:val="8"/>
        </w:numPr>
      </w:pPr>
      <w:r>
        <w:t>Replaced by Euro</w:t>
      </w:r>
    </w:p>
    <w:p w:rsidR="005D5EF1" w:rsidRDefault="005D5EF1" w:rsidP="005D5EF1">
      <w:pPr>
        <w:pStyle w:val="ListParagraph"/>
        <w:numPr>
          <w:ilvl w:val="0"/>
          <w:numId w:val="8"/>
        </w:numPr>
      </w:pPr>
      <w:r>
        <w:t>Euro</w:t>
      </w:r>
    </w:p>
    <w:p w:rsidR="005D5EF1" w:rsidRDefault="005D5EF1" w:rsidP="005D5EF1">
      <w:pPr>
        <w:pStyle w:val="ListParagraph"/>
        <w:numPr>
          <w:ilvl w:val="1"/>
          <w:numId w:val="8"/>
        </w:numPr>
      </w:pPr>
      <w:r>
        <w:t>Maastricht treaty</w:t>
      </w:r>
    </w:p>
    <w:p w:rsidR="005D5EF1" w:rsidRDefault="008265CC" w:rsidP="005D5EF1">
      <w:pPr>
        <w:pStyle w:val="ListParagraph"/>
        <w:numPr>
          <w:ilvl w:val="1"/>
          <w:numId w:val="8"/>
        </w:numPr>
      </w:pPr>
      <w:r>
        <w:t>Launched in 1999</w:t>
      </w:r>
    </w:p>
    <w:p w:rsidR="008265CC" w:rsidRDefault="008265CC" w:rsidP="005D5EF1">
      <w:pPr>
        <w:pStyle w:val="ListParagraph"/>
        <w:numPr>
          <w:ilvl w:val="1"/>
          <w:numId w:val="8"/>
        </w:numPr>
      </w:pPr>
      <w:r>
        <w:t>Notes and coins launched in 2001</w:t>
      </w:r>
    </w:p>
    <w:p w:rsidR="005D5EF1" w:rsidRDefault="005D5EF1" w:rsidP="00440CA9">
      <w:pPr>
        <w:pStyle w:val="Heading2"/>
      </w:pPr>
      <w:proofErr w:type="spellStart"/>
      <w:r>
        <w:t>Eurozone</w:t>
      </w:r>
      <w:proofErr w:type="spellEnd"/>
    </w:p>
    <w:p w:rsidR="005D5EF1" w:rsidRDefault="005D5EF1" w:rsidP="00440CA9">
      <w:pPr>
        <w:pStyle w:val="ListParagraph"/>
        <w:numPr>
          <w:ilvl w:val="0"/>
          <w:numId w:val="8"/>
        </w:numPr>
      </w:pPr>
      <w:r>
        <w:t>Economic and monetary union of 17 EU member states that have adopted the Euro</w:t>
      </w:r>
    </w:p>
    <w:p w:rsidR="00440CA9" w:rsidRDefault="00440CA9" w:rsidP="00440CA9">
      <w:pPr>
        <w:pStyle w:val="ListParagraph"/>
        <w:numPr>
          <w:ilvl w:val="0"/>
          <w:numId w:val="8"/>
        </w:numPr>
      </w:pPr>
      <w:r>
        <w:t>Monetary policy is the responsibility of the European Central Bank</w:t>
      </w:r>
    </w:p>
    <w:p w:rsidR="00440CA9" w:rsidRDefault="00440CA9" w:rsidP="00440CA9">
      <w:pPr>
        <w:pStyle w:val="ListParagraph"/>
        <w:numPr>
          <w:ilvl w:val="0"/>
          <w:numId w:val="8"/>
        </w:numPr>
      </w:pPr>
      <w:r>
        <w:t xml:space="preserve">No common fiscal policy &lt;basic </w:t>
      </w:r>
      <w:proofErr w:type="spellStart"/>
      <w:r>
        <w:t>weakeness</w:t>
      </w:r>
      <w:proofErr w:type="spellEnd"/>
      <w:r>
        <w:t>&gt;</w:t>
      </w:r>
    </w:p>
    <w:p w:rsidR="00A81FD5" w:rsidRDefault="00A81FD5" w:rsidP="00440CA9">
      <w:pPr>
        <w:pStyle w:val="ListParagraph"/>
        <w:numPr>
          <w:ilvl w:val="0"/>
          <w:numId w:val="8"/>
        </w:numPr>
      </w:pPr>
      <w:r>
        <w:t>Withstood the financial crisis of 2008-09</w:t>
      </w:r>
    </w:p>
    <w:p w:rsidR="00A81FD5" w:rsidRDefault="00A81FD5" w:rsidP="00A81FD5">
      <w:pPr>
        <w:pStyle w:val="Heading3"/>
      </w:pPr>
      <w:proofErr w:type="spellStart"/>
      <w:r>
        <w:t>Eurozone</w:t>
      </w:r>
      <w:proofErr w:type="spellEnd"/>
      <w:r>
        <w:t xml:space="preserve"> Crisis</w:t>
      </w:r>
    </w:p>
    <w:p w:rsidR="00A81FD5" w:rsidRDefault="00AE674C" w:rsidP="00A81FD5">
      <w:pPr>
        <w:pStyle w:val="ListParagraph"/>
        <w:numPr>
          <w:ilvl w:val="0"/>
          <w:numId w:val="9"/>
        </w:numPr>
      </w:pPr>
      <w:r>
        <w:t>Major countries facing crisis</w:t>
      </w:r>
    </w:p>
    <w:p w:rsidR="00AE674C" w:rsidRDefault="00AE674C" w:rsidP="00AE674C">
      <w:pPr>
        <w:pStyle w:val="ListParagraph"/>
        <w:numPr>
          <w:ilvl w:val="1"/>
          <w:numId w:val="9"/>
        </w:numPr>
      </w:pPr>
      <w:r>
        <w:t>PIGS (Portugal, Ireland, Greece, Spain)</w:t>
      </w:r>
    </w:p>
    <w:p w:rsidR="00B917D6" w:rsidRDefault="00B917D6" w:rsidP="00B917D6">
      <w:pPr>
        <w:pStyle w:val="ListParagraph"/>
        <w:numPr>
          <w:ilvl w:val="0"/>
          <w:numId w:val="9"/>
        </w:numPr>
      </w:pPr>
      <w:r>
        <w:t>2008 crisis hastened the fall</w:t>
      </w:r>
    </w:p>
    <w:p w:rsidR="007C0B10" w:rsidRDefault="007C0B10" w:rsidP="00B917D6">
      <w:pPr>
        <w:pStyle w:val="ListParagraph"/>
        <w:numPr>
          <w:ilvl w:val="0"/>
          <w:numId w:val="9"/>
        </w:numPr>
      </w:pPr>
      <w:r>
        <w:t>Greece on the verge of default</w:t>
      </w:r>
    </w:p>
    <w:p w:rsidR="007C0B10" w:rsidRDefault="007C0B10" w:rsidP="00B917D6">
      <w:pPr>
        <w:pStyle w:val="ListParagraph"/>
        <w:numPr>
          <w:ilvl w:val="0"/>
          <w:numId w:val="9"/>
        </w:numPr>
      </w:pPr>
      <w:r>
        <w:t>Portuguese and Irish Eurobonds demoted to junk status</w:t>
      </w:r>
    </w:p>
    <w:p w:rsidR="007C0B10" w:rsidRDefault="007C0B10" w:rsidP="00B917D6">
      <w:pPr>
        <w:pStyle w:val="ListParagraph"/>
        <w:numPr>
          <w:ilvl w:val="0"/>
          <w:numId w:val="9"/>
        </w:numPr>
      </w:pPr>
      <w:r>
        <w:t>Italian and Belgian bonds under speculative attack</w:t>
      </w:r>
    </w:p>
    <w:p w:rsidR="007C0B10" w:rsidRDefault="007C0B10" w:rsidP="00B917D6">
      <w:pPr>
        <w:pStyle w:val="ListParagraph"/>
        <w:numPr>
          <w:ilvl w:val="0"/>
          <w:numId w:val="9"/>
        </w:numPr>
      </w:pPr>
      <w:r>
        <w:t>The default of one country may trigger a domino effect and bring down some of Europe’s major banks</w:t>
      </w:r>
    </w:p>
    <w:p w:rsidR="001B256B" w:rsidRDefault="00A338D0" w:rsidP="001B256B">
      <w:pPr>
        <w:pStyle w:val="ListParagraph"/>
        <w:numPr>
          <w:ilvl w:val="0"/>
          <w:numId w:val="9"/>
        </w:numPr>
      </w:pPr>
      <w:r>
        <w:t>Cause</w:t>
      </w:r>
    </w:p>
    <w:p w:rsidR="001B256B" w:rsidRDefault="001B256B" w:rsidP="001B256B">
      <w:pPr>
        <w:pStyle w:val="ListParagraph"/>
        <w:numPr>
          <w:ilvl w:val="1"/>
          <w:numId w:val="9"/>
        </w:numPr>
      </w:pPr>
      <w:r>
        <w:t>Accumulated large public debts due to expansionary fiscal policies</w:t>
      </w:r>
    </w:p>
    <w:p w:rsidR="00A338D0" w:rsidRDefault="00A338D0" w:rsidP="001B256B">
      <w:pPr>
        <w:pStyle w:val="ListParagraph"/>
        <w:numPr>
          <w:ilvl w:val="1"/>
          <w:numId w:val="9"/>
        </w:numPr>
      </w:pPr>
      <w:proofErr w:type="spellStart"/>
      <w:r>
        <w:t>Eurozone</w:t>
      </w:r>
      <w:proofErr w:type="spellEnd"/>
      <w:r>
        <w:t xml:space="preserve"> removed the policy instruments of exchange rate management and monetary policy and partially fiscal policy out of the domain of national policymaking</w:t>
      </w:r>
    </w:p>
    <w:p w:rsidR="001B256B" w:rsidRDefault="001B256B" w:rsidP="00F171C7"/>
    <w:p w:rsidR="009367CA" w:rsidRDefault="009367CA" w:rsidP="009367CA">
      <w:r>
        <w:t>What is needed?</w:t>
      </w:r>
    </w:p>
    <w:p w:rsidR="009367CA" w:rsidRDefault="009367CA" w:rsidP="009367CA">
      <w:pPr>
        <w:pStyle w:val="ListParagraph"/>
        <w:numPr>
          <w:ilvl w:val="0"/>
          <w:numId w:val="11"/>
        </w:numPr>
      </w:pPr>
      <w:r>
        <w:t>Deeper structural reform</w:t>
      </w:r>
    </w:p>
    <w:p w:rsidR="00F171C7" w:rsidRDefault="00F171C7" w:rsidP="009367CA">
      <w:pPr>
        <w:pStyle w:val="ListParagraph"/>
        <w:numPr>
          <w:ilvl w:val="0"/>
          <w:numId w:val="11"/>
        </w:numPr>
      </w:pPr>
      <w:r>
        <w:t>Europe must direct more investments towards the crisis ridden countries to increase their GDP</w:t>
      </w:r>
    </w:p>
    <w:p w:rsidR="00F171C7" w:rsidRDefault="00F171C7" w:rsidP="009367CA">
      <w:pPr>
        <w:pStyle w:val="ListParagraph"/>
        <w:numPr>
          <w:ilvl w:val="0"/>
          <w:numId w:val="11"/>
        </w:numPr>
      </w:pPr>
      <w:r>
        <w:t>Monetary integration alone cannot help. Some steps to be taken towards fiscal integration</w:t>
      </w:r>
    </w:p>
    <w:p w:rsidR="00F171C7" w:rsidRDefault="00F171C7" w:rsidP="009367CA">
      <w:pPr>
        <w:pStyle w:val="ListParagraph"/>
        <w:numPr>
          <w:ilvl w:val="0"/>
          <w:numId w:val="11"/>
        </w:numPr>
      </w:pPr>
      <w:r>
        <w:t>Greater powers should be given to the European Central Bank</w:t>
      </w:r>
    </w:p>
    <w:p w:rsidR="00B917D6" w:rsidRDefault="00F9075E" w:rsidP="00F9075E">
      <w:r>
        <w:t>Probable impact of a European sovereign default on India</w:t>
      </w:r>
    </w:p>
    <w:p w:rsidR="00F9075E" w:rsidRDefault="00F9075E" w:rsidP="00F9075E">
      <w:pPr>
        <w:pStyle w:val="ListParagraph"/>
        <w:numPr>
          <w:ilvl w:val="0"/>
          <w:numId w:val="10"/>
        </w:numPr>
      </w:pPr>
      <w:r>
        <w:t>Exports to Europe will be hit</w:t>
      </w:r>
    </w:p>
    <w:p w:rsidR="00F9075E" w:rsidRDefault="00F9075E" w:rsidP="00F9075E">
      <w:pPr>
        <w:pStyle w:val="ListParagraph"/>
        <w:numPr>
          <w:ilvl w:val="0"/>
          <w:numId w:val="10"/>
        </w:numPr>
      </w:pPr>
      <w:r>
        <w:t>Effect on stock markets</w:t>
      </w:r>
    </w:p>
    <w:p w:rsidR="00F9075E" w:rsidRDefault="00F9075E" w:rsidP="00F9075E">
      <w:pPr>
        <w:pStyle w:val="ListParagraph"/>
        <w:numPr>
          <w:ilvl w:val="0"/>
          <w:numId w:val="10"/>
        </w:numPr>
      </w:pPr>
      <w:r>
        <w:t>European investments in India may dry up</w:t>
      </w:r>
    </w:p>
    <w:p w:rsidR="009367CA" w:rsidRDefault="00F9075E" w:rsidP="009367CA">
      <w:pPr>
        <w:pStyle w:val="ListParagraph"/>
        <w:numPr>
          <w:ilvl w:val="0"/>
          <w:numId w:val="10"/>
        </w:numPr>
      </w:pPr>
      <w:r>
        <w:lastRenderedPageBreak/>
        <w:t>Some of the world’s largest banks hold these debts. A default may lead to weakening of the financial status of these banks</w:t>
      </w:r>
      <w:r w:rsidR="009367CA">
        <w:t>. Another financial meltdown?</w:t>
      </w:r>
    </w:p>
    <w:p w:rsidR="009367CA" w:rsidRPr="00A81FD5" w:rsidRDefault="009367CA" w:rsidP="009367CA">
      <w:pPr>
        <w:pStyle w:val="ListParagraph"/>
        <w:numPr>
          <w:ilvl w:val="0"/>
          <w:numId w:val="10"/>
        </w:numPr>
      </w:pPr>
    </w:p>
    <w:p w:rsidR="007C59E6" w:rsidRDefault="007C59E6" w:rsidP="007C59E6">
      <w:r>
        <w:t xml:space="preserve">Oct 28, 2011 </w:t>
      </w:r>
    </w:p>
    <w:p w:rsidR="007C59E6" w:rsidRDefault="007C59E6" w:rsidP="007C59E6">
      <w:pPr>
        <w:pStyle w:val="ListParagraph"/>
        <w:numPr>
          <w:ilvl w:val="0"/>
          <w:numId w:val="13"/>
        </w:numPr>
      </w:pPr>
      <w:r>
        <w:t xml:space="preserve">The leaders of the </w:t>
      </w:r>
      <w:proofErr w:type="spellStart"/>
      <w:r>
        <w:t>Eurozone</w:t>
      </w:r>
      <w:proofErr w:type="spellEnd"/>
      <w:r>
        <w:t xml:space="preserve"> reached a new deal for dealing with the crisis</w:t>
      </w:r>
    </w:p>
    <w:p w:rsidR="007C59E6" w:rsidRDefault="007C59E6" w:rsidP="007C59E6">
      <w:pPr>
        <w:pStyle w:val="ListParagraph"/>
        <w:numPr>
          <w:ilvl w:val="0"/>
          <w:numId w:val="13"/>
        </w:numPr>
      </w:pPr>
      <w:r>
        <w:t>The new deal has three elements</w:t>
      </w:r>
    </w:p>
    <w:p w:rsidR="007C59E6" w:rsidRDefault="007C59E6" w:rsidP="007C59E6">
      <w:pPr>
        <w:pStyle w:val="ListParagraph"/>
        <w:numPr>
          <w:ilvl w:val="0"/>
          <w:numId w:val="13"/>
        </w:numPr>
      </w:pPr>
      <w:r>
        <w:t>Firstly, the leaders persuaded reluctant private banks holding Greek debt to accept a write-off of 50 per cent of their returns</w:t>
      </w:r>
    </w:p>
    <w:p w:rsidR="007C59E6" w:rsidRDefault="007C59E6" w:rsidP="007C59E6">
      <w:pPr>
        <w:pStyle w:val="ListParagraph"/>
        <w:numPr>
          <w:ilvl w:val="1"/>
          <w:numId w:val="13"/>
        </w:numPr>
      </w:pPr>
      <w:r>
        <w:t xml:space="preserve">The move is expected to cut Greece’s debt burden to 120 per cent of its GDP in 2020. Without it, the debt would have risen to 180 percent </w:t>
      </w:r>
    </w:p>
    <w:p w:rsidR="007C59E6" w:rsidRDefault="007C59E6" w:rsidP="007C59E6">
      <w:pPr>
        <w:pStyle w:val="ListParagraph"/>
        <w:numPr>
          <w:ilvl w:val="0"/>
          <w:numId w:val="13"/>
        </w:numPr>
      </w:pPr>
      <w:r>
        <w:t xml:space="preserve">Secondly, the corpus of the main euro bailout fund, the European Financial Stability Facility (EFSF), is being increased substantially from 440 </w:t>
      </w:r>
      <w:proofErr w:type="spellStart"/>
      <w:r>
        <w:t>bn</w:t>
      </w:r>
      <w:proofErr w:type="spellEnd"/>
      <w:r>
        <w:t xml:space="preserve"> Euro to 1 trillion Euro</w:t>
      </w:r>
    </w:p>
    <w:p w:rsidR="007C59E6" w:rsidRDefault="007C59E6" w:rsidP="007C59E6">
      <w:pPr>
        <w:pStyle w:val="ListParagraph"/>
        <w:numPr>
          <w:ilvl w:val="1"/>
          <w:numId w:val="13"/>
        </w:numPr>
      </w:pPr>
      <w:r>
        <w:t>This is meant to prevent market panic from spreading to other countries, notably Italy</w:t>
      </w:r>
    </w:p>
    <w:p w:rsidR="006A7D2C" w:rsidRDefault="007C59E6" w:rsidP="007C59E6">
      <w:pPr>
        <w:pStyle w:val="ListParagraph"/>
        <w:numPr>
          <w:ilvl w:val="0"/>
          <w:numId w:val="13"/>
        </w:numPr>
      </w:pPr>
      <w:r>
        <w:t xml:space="preserve">Thirdly, European banks are asked to </w:t>
      </w:r>
      <w:proofErr w:type="gramStart"/>
      <w:r>
        <w:t>raise</w:t>
      </w:r>
      <w:proofErr w:type="gramEnd"/>
      <w:r>
        <w:t xml:space="preserve"> about Euro 106 </w:t>
      </w:r>
      <w:proofErr w:type="spellStart"/>
      <w:r>
        <w:t>bn</w:t>
      </w:r>
      <w:proofErr w:type="spellEnd"/>
      <w:r>
        <w:t xml:space="preserve"> in new capital by June 2012. </w:t>
      </w:r>
    </w:p>
    <w:p w:rsidR="006A7D2C" w:rsidRDefault="006A7D2C" w:rsidP="006A7D2C">
      <w:pPr>
        <w:pStyle w:val="ListParagraph"/>
        <w:numPr>
          <w:ilvl w:val="1"/>
          <w:numId w:val="13"/>
        </w:numPr>
      </w:pPr>
      <w:r>
        <w:t xml:space="preserve">Such massive </w:t>
      </w:r>
      <w:proofErr w:type="gramStart"/>
      <w:r>
        <w:t>recapitalisation,</w:t>
      </w:r>
      <w:proofErr w:type="gramEnd"/>
      <w:r>
        <w:t xml:space="preserve"> will shield not only the banks against losses resulting from government defaults but will also protect the larger economies such as Spain and Italy from slipping into default. </w:t>
      </w:r>
    </w:p>
    <w:p w:rsidR="0046720C" w:rsidRDefault="006A7D2C" w:rsidP="006A7D2C">
      <w:pPr>
        <w:pStyle w:val="ListParagraph"/>
        <w:numPr>
          <w:ilvl w:val="0"/>
          <w:numId w:val="13"/>
        </w:numPr>
      </w:pPr>
      <w:r>
        <w:t xml:space="preserve">The success of the package is contingent on whether, and to what extent, Greece and the </w:t>
      </w:r>
      <w:proofErr w:type="spellStart"/>
      <w:r>
        <w:t>Eurozone</w:t>
      </w:r>
      <w:proofErr w:type="spellEnd"/>
      <w:r>
        <w:t xml:space="preserve"> are able to convince the markets that the worst will be over soon </w:t>
      </w:r>
      <w:r w:rsidR="0046720C">
        <w:br w:type="page"/>
      </w:r>
    </w:p>
    <w:p w:rsidR="009D63BC" w:rsidRDefault="009D63BC" w:rsidP="009D63BC">
      <w:pPr>
        <w:pStyle w:val="Heading2"/>
      </w:pPr>
      <w:r>
        <w:lastRenderedPageBreak/>
        <w:t>India-EU Relations</w:t>
      </w:r>
    </w:p>
    <w:p w:rsidR="00117324" w:rsidRDefault="004A1394" w:rsidP="004A1394">
      <w:pPr>
        <w:pStyle w:val="ListParagraph"/>
        <w:numPr>
          <w:ilvl w:val="0"/>
          <w:numId w:val="1"/>
        </w:numPr>
      </w:pPr>
      <w:r>
        <w:t>The 11</w:t>
      </w:r>
      <w:r w:rsidRPr="004A1394">
        <w:rPr>
          <w:vertAlign w:val="superscript"/>
        </w:rPr>
        <w:t>th</w:t>
      </w:r>
      <w:r>
        <w:t xml:space="preserve"> India-EU summit was held in December 2010 at Brussels</w:t>
      </w:r>
    </w:p>
    <w:p w:rsidR="00FB45C7" w:rsidRDefault="00FB45C7" w:rsidP="004A1394">
      <w:pPr>
        <w:pStyle w:val="ListParagraph"/>
        <w:numPr>
          <w:ilvl w:val="0"/>
          <w:numId w:val="1"/>
        </w:numPr>
      </w:pPr>
      <w:r>
        <w:t>This was the first India-EU summit after Lisbon Treaty came into force</w:t>
      </w:r>
    </w:p>
    <w:p w:rsidR="00FB45C7" w:rsidRDefault="00FB45C7" w:rsidP="004A1394">
      <w:pPr>
        <w:pStyle w:val="ListParagraph"/>
        <w:numPr>
          <w:ilvl w:val="0"/>
          <w:numId w:val="1"/>
        </w:numPr>
      </w:pPr>
      <w:proofErr w:type="spellStart"/>
      <w:r>
        <w:t>Manmohan</w:t>
      </w:r>
      <w:proofErr w:type="spellEnd"/>
      <w:r>
        <w:t xml:space="preserve"> Singh called for ‘taking the lead in avoiding protectionist trends, keeping markets open and encouraging the free flow of and movement of people</w:t>
      </w:r>
      <w:r w:rsidR="0011327C">
        <w:t>’ by the  two sides</w:t>
      </w:r>
    </w:p>
    <w:p w:rsidR="0011327C" w:rsidRDefault="0011327C" w:rsidP="004A1394">
      <w:pPr>
        <w:pStyle w:val="ListParagraph"/>
        <w:numPr>
          <w:ilvl w:val="0"/>
          <w:numId w:val="1"/>
        </w:numPr>
      </w:pPr>
    </w:p>
    <w:p w:rsidR="004A1394" w:rsidRDefault="004A1394" w:rsidP="004A1394">
      <w:r>
        <w:t>Trade</w:t>
      </w:r>
    </w:p>
    <w:p w:rsidR="004A1394" w:rsidRDefault="004A1394" w:rsidP="004A1394">
      <w:pPr>
        <w:pStyle w:val="ListParagraph"/>
        <w:numPr>
          <w:ilvl w:val="0"/>
          <w:numId w:val="1"/>
        </w:numPr>
      </w:pPr>
      <w:r>
        <w:t>The two sides  have been negotiating a FTA</w:t>
      </w:r>
    </w:p>
    <w:p w:rsidR="004A1394" w:rsidRDefault="004A1394" w:rsidP="004A1394">
      <w:pPr>
        <w:pStyle w:val="ListParagraph"/>
        <w:numPr>
          <w:ilvl w:val="0"/>
          <w:numId w:val="1"/>
        </w:numPr>
      </w:pPr>
      <w:r>
        <w:t>The major stumbling blocks are:</w:t>
      </w:r>
    </w:p>
    <w:p w:rsidR="004A1394" w:rsidRDefault="004A1394" w:rsidP="004A1394">
      <w:pPr>
        <w:pStyle w:val="ListParagraph"/>
        <w:numPr>
          <w:ilvl w:val="1"/>
          <w:numId w:val="1"/>
        </w:numPr>
      </w:pPr>
      <w:r>
        <w:t xml:space="preserve">EU’s insistence on the environment and </w:t>
      </w:r>
      <w:proofErr w:type="spellStart"/>
      <w:r>
        <w:t>labor</w:t>
      </w:r>
      <w:proofErr w:type="spellEnd"/>
      <w:r>
        <w:t xml:space="preserve"> standards</w:t>
      </w:r>
    </w:p>
    <w:p w:rsidR="004A1394" w:rsidRDefault="004A1394" w:rsidP="004A1394">
      <w:pPr>
        <w:pStyle w:val="ListParagraph"/>
        <w:numPr>
          <w:ilvl w:val="1"/>
          <w:numId w:val="1"/>
        </w:numPr>
      </w:pPr>
      <w:r>
        <w:t>Intellectual property rights of generic drugs</w:t>
      </w:r>
    </w:p>
    <w:p w:rsidR="004A1394" w:rsidRDefault="004A1394" w:rsidP="00827E5D">
      <w:pPr>
        <w:pStyle w:val="ListParagraph"/>
        <w:numPr>
          <w:ilvl w:val="1"/>
          <w:numId w:val="1"/>
        </w:numPr>
      </w:pPr>
      <w:r>
        <w:t>Resistance of EU member states over free movement of Indian nationals</w:t>
      </w:r>
    </w:p>
    <w:p w:rsidR="005A1037" w:rsidRDefault="005A1037" w:rsidP="005A1037">
      <w:pPr>
        <w:pStyle w:val="ListParagraph"/>
        <w:numPr>
          <w:ilvl w:val="0"/>
          <w:numId w:val="1"/>
        </w:numPr>
      </w:pPr>
      <w:r>
        <w:t>India has a high tariff regime</w:t>
      </w:r>
    </w:p>
    <w:p w:rsidR="005A1037" w:rsidRDefault="005A1037" w:rsidP="005A1037">
      <w:pPr>
        <w:pStyle w:val="ListParagraph"/>
        <w:numPr>
          <w:ilvl w:val="1"/>
          <w:numId w:val="1"/>
        </w:numPr>
      </w:pPr>
      <w:r>
        <w:t>So India will have much to lose from FTA</w:t>
      </w:r>
      <w:r w:rsidR="00A05A54">
        <w:t xml:space="preserve"> (?)</w:t>
      </w:r>
    </w:p>
    <w:p w:rsidR="00D8361E" w:rsidRDefault="008A75C6" w:rsidP="00D8361E">
      <w:pPr>
        <w:pStyle w:val="ListParagraph"/>
        <w:numPr>
          <w:ilvl w:val="0"/>
          <w:numId w:val="1"/>
        </w:numPr>
      </w:pPr>
      <w:r>
        <w:t xml:space="preserve">FDI </w:t>
      </w:r>
      <w:proofErr w:type="spellStart"/>
      <w:r>
        <w:t>multibrand</w:t>
      </w:r>
      <w:proofErr w:type="spellEnd"/>
    </w:p>
    <w:p w:rsidR="008A75C6" w:rsidRDefault="008A75C6" w:rsidP="00EF378D">
      <w:pPr>
        <w:pStyle w:val="ListParagraph"/>
        <w:numPr>
          <w:ilvl w:val="0"/>
          <w:numId w:val="1"/>
        </w:numPr>
      </w:pPr>
      <w:r>
        <w:t>Legal sector investment</w:t>
      </w:r>
    </w:p>
    <w:p w:rsidR="00EF378D" w:rsidRDefault="00EF378D" w:rsidP="00EF378D">
      <w:pPr>
        <w:pStyle w:val="ListParagraph"/>
        <w:numPr>
          <w:ilvl w:val="0"/>
          <w:numId w:val="1"/>
        </w:numPr>
      </w:pPr>
    </w:p>
    <w:p w:rsidR="00827E5D" w:rsidRDefault="00827E5D">
      <w:r>
        <w:br w:type="page"/>
      </w:r>
    </w:p>
    <w:p w:rsidR="00827E5D" w:rsidRDefault="00827E5D" w:rsidP="00827E5D">
      <w:pPr>
        <w:pStyle w:val="Heading1"/>
      </w:pPr>
      <w:r>
        <w:lastRenderedPageBreak/>
        <w:t>Smaller Countries</w:t>
      </w:r>
    </w:p>
    <w:p w:rsidR="00827E5D" w:rsidRDefault="00827E5D" w:rsidP="00827E5D"/>
    <w:p w:rsidR="00827E5D" w:rsidRDefault="00827E5D" w:rsidP="00827E5D">
      <w:pPr>
        <w:pStyle w:val="Heading2"/>
      </w:pPr>
      <w:r>
        <w:t>Belgium</w:t>
      </w:r>
    </w:p>
    <w:p w:rsidR="00827E5D" w:rsidRDefault="00BA5616" w:rsidP="00BA5616">
      <w:pPr>
        <w:pStyle w:val="ListParagraph"/>
        <w:numPr>
          <w:ilvl w:val="0"/>
          <w:numId w:val="2"/>
        </w:numPr>
      </w:pPr>
      <w:r>
        <w:t>India’s third largest trade partner in EU</w:t>
      </w:r>
    </w:p>
    <w:p w:rsidR="00BA5616" w:rsidRPr="00827E5D" w:rsidRDefault="00BA5616" w:rsidP="00BA5616">
      <w:pPr>
        <w:pStyle w:val="ListParagraph"/>
        <w:numPr>
          <w:ilvl w:val="0"/>
          <w:numId w:val="2"/>
        </w:numPr>
      </w:pPr>
      <w:r>
        <w:t>Trade dominated by Diamonds with 75 pc of the bilateral trade in jewellery</w:t>
      </w:r>
    </w:p>
    <w:sectPr w:rsidR="00BA5616" w:rsidRPr="00827E5D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558"/>
    <w:multiLevelType w:val="hybridMultilevel"/>
    <w:tmpl w:val="9152A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542"/>
    <w:multiLevelType w:val="hybridMultilevel"/>
    <w:tmpl w:val="E2404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8CF"/>
    <w:multiLevelType w:val="hybridMultilevel"/>
    <w:tmpl w:val="C05C4048"/>
    <w:lvl w:ilvl="0" w:tplc="40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3">
    <w:nsid w:val="0A260D96"/>
    <w:multiLevelType w:val="hybridMultilevel"/>
    <w:tmpl w:val="CAC0A53A"/>
    <w:lvl w:ilvl="0" w:tplc="40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4">
    <w:nsid w:val="1020554A"/>
    <w:multiLevelType w:val="hybridMultilevel"/>
    <w:tmpl w:val="15769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06A1"/>
    <w:multiLevelType w:val="hybridMultilevel"/>
    <w:tmpl w:val="F19EB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3EF9"/>
    <w:multiLevelType w:val="hybridMultilevel"/>
    <w:tmpl w:val="401CF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54ABB"/>
    <w:multiLevelType w:val="hybridMultilevel"/>
    <w:tmpl w:val="49BE506E"/>
    <w:lvl w:ilvl="0" w:tplc="40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8">
    <w:nsid w:val="24841E53"/>
    <w:multiLevelType w:val="hybridMultilevel"/>
    <w:tmpl w:val="10AE1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2962"/>
    <w:multiLevelType w:val="hybridMultilevel"/>
    <w:tmpl w:val="BDB68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75847"/>
    <w:multiLevelType w:val="hybridMultilevel"/>
    <w:tmpl w:val="B13E4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54D3B"/>
    <w:multiLevelType w:val="hybridMultilevel"/>
    <w:tmpl w:val="42FAF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01593"/>
    <w:multiLevelType w:val="hybridMultilevel"/>
    <w:tmpl w:val="53322F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394"/>
    <w:rsid w:val="00084E66"/>
    <w:rsid w:val="0011327C"/>
    <w:rsid w:val="00117324"/>
    <w:rsid w:val="001B256B"/>
    <w:rsid w:val="00207509"/>
    <w:rsid w:val="00207CA5"/>
    <w:rsid w:val="0021206C"/>
    <w:rsid w:val="00352DCF"/>
    <w:rsid w:val="0039124C"/>
    <w:rsid w:val="00440CA9"/>
    <w:rsid w:val="0046720C"/>
    <w:rsid w:val="004735DF"/>
    <w:rsid w:val="004A1394"/>
    <w:rsid w:val="005A1037"/>
    <w:rsid w:val="005D5EF1"/>
    <w:rsid w:val="005F5A1E"/>
    <w:rsid w:val="00611689"/>
    <w:rsid w:val="0064357D"/>
    <w:rsid w:val="006A322C"/>
    <w:rsid w:val="006A7D2C"/>
    <w:rsid w:val="00740E38"/>
    <w:rsid w:val="007C0B10"/>
    <w:rsid w:val="007C52B2"/>
    <w:rsid w:val="007C59E6"/>
    <w:rsid w:val="00815C65"/>
    <w:rsid w:val="008265CC"/>
    <w:rsid w:val="00827E5D"/>
    <w:rsid w:val="008A75C6"/>
    <w:rsid w:val="009367CA"/>
    <w:rsid w:val="009B64B6"/>
    <w:rsid w:val="009B79F7"/>
    <w:rsid w:val="009D63BC"/>
    <w:rsid w:val="00A05A54"/>
    <w:rsid w:val="00A24D70"/>
    <w:rsid w:val="00A254CF"/>
    <w:rsid w:val="00A338D0"/>
    <w:rsid w:val="00A81FD5"/>
    <w:rsid w:val="00AE674C"/>
    <w:rsid w:val="00B917D6"/>
    <w:rsid w:val="00BA5616"/>
    <w:rsid w:val="00D4695B"/>
    <w:rsid w:val="00D8361E"/>
    <w:rsid w:val="00DE327C"/>
    <w:rsid w:val="00E11A21"/>
    <w:rsid w:val="00EF378D"/>
    <w:rsid w:val="00F171C7"/>
    <w:rsid w:val="00F9075E"/>
    <w:rsid w:val="00F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1">
    <w:name w:val="heading 1"/>
    <w:basedOn w:val="Normal"/>
    <w:next w:val="Normal"/>
    <w:link w:val="Heading1Char"/>
    <w:uiPriority w:val="9"/>
    <w:qFormat/>
    <w:rsid w:val="008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81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CE4442-15B4-495D-80B5-80ADB5AF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39</cp:revision>
  <dcterms:created xsi:type="dcterms:W3CDTF">2010-12-14T04:10:00Z</dcterms:created>
  <dcterms:modified xsi:type="dcterms:W3CDTF">2011-12-05T10:06:00Z</dcterms:modified>
</cp:coreProperties>
</file>