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17" w:rsidRDefault="00B7232F" w:rsidP="00B7232F">
      <w:r>
        <w:t>SCO &lt;in Central Asia and SCO&gt;</w:t>
      </w:r>
    </w:p>
    <w:p w:rsidR="00894120" w:rsidRDefault="00894120" w:rsidP="00B7232F"/>
    <w:p w:rsidR="00894120" w:rsidRDefault="00894120" w:rsidP="00B90035">
      <w:pPr>
        <w:pStyle w:val="Heading1"/>
      </w:pPr>
      <w:r>
        <w:t>G-20</w:t>
      </w:r>
    </w:p>
    <w:p w:rsidR="003E491A" w:rsidRDefault="003E491A" w:rsidP="003E491A"/>
    <w:p w:rsidR="0050788A" w:rsidRDefault="003E491A" w:rsidP="003E491A">
      <w:r>
        <w:t>&lt;</w:t>
      </w:r>
      <w:proofErr w:type="gramStart"/>
      <w:r>
        <w:t>refer</w:t>
      </w:r>
      <w:proofErr w:type="gramEnd"/>
      <w:r>
        <w:t xml:space="preserve"> </w:t>
      </w:r>
      <w:proofErr w:type="spellStart"/>
      <w:r>
        <w:t>pdf</w:t>
      </w:r>
      <w:proofErr w:type="spellEnd"/>
      <w:r>
        <w:t>&gt;</w:t>
      </w:r>
    </w:p>
    <w:p w:rsidR="00166E88" w:rsidRDefault="00166E88" w:rsidP="00166E88">
      <w:pPr>
        <w:pStyle w:val="Heading3"/>
      </w:pPr>
      <w:r>
        <w:t xml:space="preserve"> Seoul Development Consensus for shared growth</w:t>
      </w:r>
    </w:p>
    <w:p w:rsidR="00166E88" w:rsidRDefault="00D16120" w:rsidP="00D16120">
      <w:pPr>
        <w:pStyle w:val="ListParagraph"/>
        <w:numPr>
          <w:ilvl w:val="0"/>
          <w:numId w:val="5"/>
        </w:numPr>
      </w:pPr>
      <w:r>
        <w:t>Adopted at the G-20 Seoul summit 2010</w:t>
      </w:r>
    </w:p>
    <w:p w:rsidR="00D16120" w:rsidRDefault="00D16120" w:rsidP="00D16120">
      <w:pPr>
        <w:pStyle w:val="ListParagraph"/>
        <w:numPr>
          <w:ilvl w:val="0"/>
          <w:numId w:val="5"/>
        </w:numPr>
      </w:pPr>
      <w:r>
        <w:t>A set of principles and  guidelines set up to assist the G20 nations and other global actors in working collaboratively with the less developed countries to boost their economic growth and to achieve the MDGs</w:t>
      </w:r>
    </w:p>
    <w:p w:rsidR="00D16120" w:rsidRDefault="00D16120" w:rsidP="00D16120">
      <w:pPr>
        <w:pStyle w:val="ListParagraph"/>
        <w:numPr>
          <w:ilvl w:val="0"/>
          <w:numId w:val="5"/>
        </w:numPr>
      </w:pPr>
      <w:r>
        <w:t xml:space="preserve">In contrast with the older Washington Consensus, the Seoul Consensus allows a larger role for state intervention. </w:t>
      </w:r>
    </w:p>
    <w:p w:rsidR="004C52EC" w:rsidRDefault="004C52EC" w:rsidP="00D16120">
      <w:pPr>
        <w:pStyle w:val="ListParagraph"/>
        <w:numPr>
          <w:ilvl w:val="0"/>
          <w:numId w:val="5"/>
        </w:numPr>
      </w:pPr>
      <w:r>
        <w:t>Postulates that the solutions should be tailored to the requirements of individual developing nations</w:t>
      </w:r>
    </w:p>
    <w:p w:rsidR="00535DD0" w:rsidRDefault="00535DD0" w:rsidP="00D16120">
      <w:pPr>
        <w:pStyle w:val="ListParagraph"/>
        <w:numPr>
          <w:ilvl w:val="0"/>
          <w:numId w:val="5"/>
        </w:numPr>
      </w:pPr>
      <w:r>
        <w:t>Six Core principles</w:t>
      </w:r>
    </w:p>
    <w:p w:rsidR="00535DD0" w:rsidRDefault="00535DD0" w:rsidP="00535DD0">
      <w:pPr>
        <w:pStyle w:val="ListParagraph"/>
        <w:numPr>
          <w:ilvl w:val="1"/>
          <w:numId w:val="5"/>
        </w:numPr>
      </w:pPr>
      <w:r>
        <w:t>Focus on economic growth</w:t>
      </w:r>
    </w:p>
    <w:p w:rsidR="00535DD0" w:rsidRDefault="00535DD0" w:rsidP="00535DD0">
      <w:pPr>
        <w:pStyle w:val="ListParagraph"/>
        <w:numPr>
          <w:ilvl w:val="1"/>
          <w:numId w:val="5"/>
        </w:numPr>
      </w:pPr>
      <w:r>
        <w:t>Global Development partnership</w:t>
      </w:r>
    </w:p>
    <w:p w:rsidR="00535DD0" w:rsidRDefault="00535DD0" w:rsidP="00535DD0">
      <w:pPr>
        <w:pStyle w:val="ListParagraph"/>
        <w:numPr>
          <w:ilvl w:val="1"/>
          <w:numId w:val="5"/>
        </w:numPr>
      </w:pPr>
      <w:r>
        <w:t>Global or regional systemic issues</w:t>
      </w:r>
    </w:p>
    <w:p w:rsidR="00535DD0" w:rsidRDefault="00535DD0" w:rsidP="00535DD0">
      <w:pPr>
        <w:pStyle w:val="ListParagraph"/>
        <w:numPr>
          <w:ilvl w:val="1"/>
          <w:numId w:val="5"/>
        </w:numPr>
      </w:pPr>
      <w:r>
        <w:t>Private sector participation</w:t>
      </w:r>
    </w:p>
    <w:p w:rsidR="00535DD0" w:rsidRDefault="00535DD0" w:rsidP="00535DD0">
      <w:pPr>
        <w:pStyle w:val="ListParagraph"/>
        <w:numPr>
          <w:ilvl w:val="1"/>
          <w:numId w:val="5"/>
        </w:numPr>
      </w:pPr>
      <w:proofErr w:type="spellStart"/>
      <w:r>
        <w:t>Complementarity</w:t>
      </w:r>
      <w:proofErr w:type="spellEnd"/>
    </w:p>
    <w:p w:rsidR="00535DD0" w:rsidRDefault="00535DD0" w:rsidP="00535DD0">
      <w:pPr>
        <w:pStyle w:val="ListParagraph"/>
        <w:numPr>
          <w:ilvl w:val="1"/>
          <w:numId w:val="5"/>
        </w:numPr>
      </w:pPr>
      <w:r>
        <w:t>Outcome orientation</w:t>
      </w:r>
    </w:p>
    <w:p w:rsidR="00535DD0" w:rsidRDefault="00535DD0" w:rsidP="00535DD0">
      <w:pPr>
        <w:pStyle w:val="ListParagraph"/>
        <w:numPr>
          <w:ilvl w:val="0"/>
          <w:numId w:val="5"/>
        </w:numPr>
      </w:pPr>
      <w:r>
        <w:t>9 key pillars</w:t>
      </w:r>
    </w:p>
    <w:p w:rsidR="00535DD0" w:rsidRDefault="00535DD0" w:rsidP="00535DD0">
      <w:pPr>
        <w:pStyle w:val="ListParagraph"/>
        <w:numPr>
          <w:ilvl w:val="1"/>
          <w:numId w:val="5"/>
        </w:numPr>
      </w:pPr>
      <w:r>
        <w:t>Infrastructure</w:t>
      </w:r>
    </w:p>
    <w:p w:rsidR="00535DD0" w:rsidRDefault="00535DD0" w:rsidP="00535DD0">
      <w:pPr>
        <w:pStyle w:val="ListParagraph"/>
        <w:numPr>
          <w:ilvl w:val="1"/>
          <w:numId w:val="5"/>
        </w:numPr>
      </w:pPr>
      <w:r>
        <w:t>Private investment and job creation</w:t>
      </w:r>
    </w:p>
    <w:p w:rsidR="00535DD0" w:rsidRDefault="00535DD0" w:rsidP="00535DD0">
      <w:pPr>
        <w:pStyle w:val="ListParagraph"/>
        <w:numPr>
          <w:ilvl w:val="1"/>
          <w:numId w:val="5"/>
        </w:numPr>
      </w:pPr>
      <w:r>
        <w:t>Human resource development</w:t>
      </w:r>
    </w:p>
    <w:p w:rsidR="00535DD0" w:rsidRDefault="00535DD0" w:rsidP="00535DD0">
      <w:pPr>
        <w:pStyle w:val="ListParagraph"/>
        <w:numPr>
          <w:ilvl w:val="1"/>
          <w:numId w:val="5"/>
        </w:numPr>
      </w:pPr>
      <w:r>
        <w:t>Trade</w:t>
      </w:r>
    </w:p>
    <w:p w:rsidR="00535DD0" w:rsidRDefault="00535DD0" w:rsidP="00535DD0">
      <w:pPr>
        <w:pStyle w:val="ListParagraph"/>
        <w:numPr>
          <w:ilvl w:val="1"/>
          <w:numId w:val="5"/>
        </w:numPr>
      </w:pPr>
      <w:r>
        <w:t>Financial inclusion</w:t>
      </w:r>
    </w:p>
    <w:p w:rsidR="00535DD0" w:rsidRDefault="00535DD0" w:rsidP="00535DD0">
      <w:pPr>
        <w:pStyle w:val="ListParagraph"/>
        <w:numPr>
          <w:ilvl w:val="1"/>
          <w:numId w:val="5"/>
        </w:numPr>
      </w:pPr>
      <w:r>
        <w:t>Resilient growth</w:t>
      </w:r>
    </w:p>
    <w:p w:rsidR="00535DD0" w:rsidRDefault="00535DD0" w:rsidP="00535DD0">
      <w:pPr>
        <w:pStyle w:val="ListParagraph"/>
        <w:numPr>
          <w:ilvl w:val="1"/>
          <w:numId w:val="5"/>
        </w:numPr>
      </w:pPr>
      <w:r>
        <w:t>Food security</w:t>
      </w:r>
    </w:p>
    <w:p w:rsidR="00535DD0" w:rsidRDefault="00535DD0" w:rsidP="00535DD0">
      <w:pPr>
        <w:pStyle w:val="ListParagraph"/>
        <w:numPr>
          <w:ilvl w:val="1"/>
          <w:numId w:val="5"/>
        </w:numPr>
      </w:pPr>
      <w:r>
        <w:t>Domestic resource mobilization</w:t>
      </w:r>
    </w:p>
    <w:p w:rsidR="00535DD0" w:rsidRDefault="00535DD0" w:rsidP="00535DD0">
      <w:pPr>
        <w:pStyle w:val="ListParagraph"/>
        <w:numPr>
          <w:ilvl w:val="1"/>
          <w:numId w:val="5"/>
        </w:numPr>
      </w:pPr>
      <w:r>
        <w:t>Knowledge sharing</w:t>
      </w:r>
    </w:p>
    <w:p w:rsidR="00166E88" w:rsidRPr="00166E88" w:rsidRDefault="00166E88" w:rsidP="00166E88"/>
    <w:p w:rsidR="0050788A" w:rsidRDefault="0050788A" w:rsidP="0050788A">
      <w:pPr>
        <w:pStyle w:val="Caption"/>
        <w:keepNext/>
      </w:pPr>
      <w:r>
        <w:t xml:space="preserve">Table </w:t>
      </w:r>
      <w:fldSimple w:instr=" SEQ Table \* ARABIC ">
        <w:r>
          <w:rPr>
            <w:noProof/>
          </w:rPr>
          <w:t>1</w:t>
        </w:r>
      </w:fldSimple>
    </w:p>
    <w:tbl>
      <w:tblPr>
        <w:tblStyle w:val="TableGrid"/>
        <w:tblW w:w="0" w:type="auto"/>
        <w:tblLook w:val="04A0"/>
      </w:tblPr>
      <w:tblGrid>
        <w:gridCol w:w="4621"/>
        <w:gridCol w:w="4621"/>
      </w:tblGrid>
      <w:tr w:rsidR="0050788A" w:rsidTr="0050788A">
        <w:tc>
          <w:tcPr>
            <w:tcW w:w="4621" w:type="dxa"/>
          </w:tcPr>
          <w:p w:rsidR="0050788A" w:rsidRDefault="0050788A" w:rsidP="003E491A">
            <w:r>
              <w:t>Achievements</w:t>
            </w:r>
          </w:p>
        </w:tc>
        <w:tc>
          <w:tcPr>
            <w:tcW w:w="4621" w:type="dxa"/>
          </w:tcPr>
          <w:p w:rsidR="0050788A" w:rsidRDefault="0050788A" w:rsidP="003E491A">
            <w:r>
              <w:t>Concerns</w:t>
            </w:r>
          </w:p>
        </w:tc>
      </w:tr>
      <w:tr w:rsidR="0050788A" w:rsidTr="0050788A">
        <w:tc>
          <w:tcPr>
            <w:tcW w:w="4621" w:type="dxa"/>
          </w:tcPr>
          <w:p w:rsidR="0050788A" w:rsidRDefault="0050788A" w:rsidP="003E491A">
            <w:r>
              <w:t>Coordinated response during financial crisis</w:t>
            </w:r>
          </w:p>
        </w:tc>
        <w:tc>
          <w:tcPr>
            <w:tcW w:w="4621" w:type="dxa"/>
          </w:tcPr>
          <w:p w:rsidR="0050788A" w:rsidRDefault="008476AD" w:rsidP="003E491A">
            <w:r>
              <w:t>Commitments are being expressed but the cooperation has come down after the crisis</w:t>
            </w:r>
          </w:p>
        </w:tc>
      </w:tr>
      <w:tr w:rsidR="0050788A" w:rsidTr="0050788A">
        <w:tc>
          <w:tcPr>
            <w:tcW w:w="4621" w:type="dxa"/>
          </w:tcPr>
          <w:p w:rsidR="0050788A" w:rsidRDefault="0050788A" w:rsidP="003E491A">
            <w:r>
              <w:t>Strengthened norms for financial oversight</w:t>
            </w:r>
          </w:p>
        </w:tc>
        <w:tc>
          <w:tcPr>
            <w:tcW w:w="4621" w:type="dxa"/>
          </w:tcPr>
          <w:p w:rsidR="0050788A" w:rsidRDefault="00F57DBD" w:rsidP="003E491A">
            <w:r>
              <w:t>Will it be vibrant as before?</w:t>
            </w:r>
          </w:p>
        </w:tc>
      </w:tr>
      <w:tr w:rsidR="0050788A" w:rsidTr="0050788A">
        <w:tc>
          <w:tcPr>
            <w:tcW w:w="4621" w:type="dxa"/>
          </w:tcPr>
          <w:p w:rsidR="0050788A" w:rsidRDefault="0050788A" w:rsidP="003E491A">
            <w:r>
              <w:t>Financial Stability Board</w:t>
            </w:r>
          </w:p>
        </w:tc>
        <w:tc>
          <w:tcPr>
            <w:tcW w:w="4621" w:type="dxa"/>
          </w:tcPr>
          <w:p w:rsidR="0050788A" w:rsidRDefault="00166E88" w:rsidP="003E491A">
            <w:r>
              <w:t>Currency war and trade imbalances</w:t>
            </w:r>
          </w:p>
        </w:tc>
      </w:tr>
      <w:tr w:rsidR="0050788A" w:rsidTr="0050788A">
        <w:tc>
          <w:tcPr>
            <w:tcW w:w="4621" w:type="dxa"/>
          </w:tcPr>
          <w:p w:rsidR="0050788A" w:rsidRDefault="0050788A" w:rsidP="003E491A">
            <w:r>
              <w:t>Initiated reforms in the IFIs</w:t>
            </w:r>
          </w:p>
        </w:tc>
        <w:tc>
          <w:tcPr>
            <w:tcW w:w="4621" w:type="dxa"/>
          </w:tcPr>
          <w:p w:rsidR="0050788A" w:rsidRDefault="0050788A" w:rsidP="003E491A"/>
        </w:tc>
      </w:tr>
    </w:tbl>
    <w:p w:rsidR="0050788A" w:rsidRDefault="0050788A" w:rsidP="003E491A"/>
    <w:p w:rsidR="008476AD" w:rsidRDefault="008476AD" w:rsidP="00B90035">
      <w:pPr>
        <w:pStyle w:val="Heading3"/>
      </w:pPr>
      <w:r>
        <w:lastRenderedPageBreak/>
        <w:t>India’s concerns at G-20</w:t>
      </w:r>
    </w:p>
    <w:p w:rsidR="00B90035" w:rsidRPr="00B90035" w:rsidRDefault="00B90035" w:rsidP="00B90035">
      <w:pPr>
        <w:numPr>
          <w:ilvl w:val="0"/>
          <w:numId w:val="3"/>
        </w:numPr>
        <w:spacing w:before="100" w:beforeAutospacing="1" w:after="100" w:afterAutospacing="1" w:line="219" w:lineRule="atLeast"/>
        <w:rPr>
          <w:rFonts w:ascii="Verdana" w:eastAsia="Times New Roman" w:hAnsi="Verdana" w:cs="Times New Roman"/>
          <w:color w:val="111111"/>
          <w:sz w:val="14"/>
          <w:szCs w:val="14"/>
          <w:shd w:val="clear" w:color="auto" w:fill="FFFFFF"/>
          <w:lang w:eastAsia="en-IN"/>
        </w:rPr>
      </w:pPr>
      <w:r w:rsidRPr="00B90035">
        <w:rPr>
          <w:rFonts w:ascii="Verdana" w:eastAsia="Times New Roman" w:hAnsi="Verdana" w:cs="Times New Roman"/>
          <w:color w:val="111111"/>
          <w:sz w:val="14"/>
          <w:szCs w:val="14"/>
          <w:shd w:val="clear" w:color="auto" w:fill="FFFFFF"/>
          <w:lang w:eastAsia="en-IN"/>
        </w:rPr>
        <w:t>Rebalancing global governance by reforming global financial institutions</w:t>
      </w:r>
    </w:p>
    <w:p w:rsidR="00B90035" w:rsidRPr="00B90035" w:rsidRDefault="00B90035" w:rsidP="00B90035">
      <w:pPr>
        <w:numPr>
          <w:ilvl w:val="0"/>
          <w:numId w:val="3"/>
        </w:numPr>
        <w:spacing w:before="100" w:beforeAutospacing="1" w:after="100" w:afterAutospacing="1" w:line="219" w:lineRule="atLeast"/>
        <w:rPr>
          <w:rFonts w:ascii="Verdana" w:eastAsia="Times New Roman" w:hAnsi="Verdana" w:cs="Times New Roman"/>
          <w:color w:val="111111"/>
          <w:sz w:val="14"/>
          <w:szCs w:val="14"/>
          <w:shd w:val="clear" w:color="auto" w:fill="FFFFFF"/>
          <w:lang w:eastAsia="en-IN"/>
        </w:rPr>
      </w:pPr>
      <w:r w:rsidRPr="00B90035">
        <w:rPr>
          <w:rFonts w:ascii="Verdana" w:eastAsia="Times New Roman" w:hAnsi="Verdana" w:cs="Times New Roman"/>
          <w:color w:val="111111"/>
          <w:sz w:val="14"/>
          <w:szCs w:val="14"/>
          <w:shd w:val="clear" w:color="auto" w:fill="FFFFFF"/>
          <w:lang w:eastAsia="en-IN"/>
        </w:rPr>
        <w:t>Reforming the global financial and monetary systems to provide better financial safety nets</w:t>
      </w:r>
    </w:p>
    <w:p w:rsidR="00B90035" w:rsidRPr="00B90035" w:rsidRDefault="00B90035" w:rsidP="00B90035">
      <w:pPr>
        <w:numPr>
          <w:ilvl w:val="0"/>
          <w:numId w:val="3"/>
        </w:numPr>
        <w:spacing w:before="100" w:beforeAutospacing="1" w:after="100" w:afterAutospacing="1" w:line="219" w:lineRule="atLeast"/>
        <w:rPr>
          <w:rFonts w:ascii="Verdana" w:eastAsia="Times New Roman" w:hAnsi="Verdana" w:cs="Times New Roman"/>
          <w:color w:val="111111"/>
          <w:sz w:val="14"/>
          <w:szCs w:val="14"/>
          <w:shd w:val="clear" w:color="auto" w:fill="FFFFFF"/>
          <w:lang w:eastAsia="en-IN"/>
        </w:rPr>
      </w:pPr>
      <w:r w:rsidRPr="00B90035">
        <w:rPr>
          <w:rFonts w:ascii="Verdana" w:eastAsia="Times New Roman" w:hAnsi="Verdana" w:cs="Times New Roman"/>
          <w:color w:val="111111"/>
          <w:sz w:val="14"/>
          <w:szCs w:val="14"/>
          <w:shd w:val="clear" w:color="auto" w:fill="FFFFFF"/>
          <w:lang w:eastAsia="en-IN"/>
        </w:rPr>
        <w:t>Checking global macro imbalances</w:t>
      </w:r>
    </w:p>
    <w:p w:rsidR="00B90035" w:rsidRPr="00B90035" w:rsidRDefault="00B90035" w:rsidP="00B90035">
      <w:pPr>
        <w:numPr>
          <w:ilvl w:val="0"/>
          <w:numId w:val="3"/>
        </w:numPr>
        <w:spacing w:before="100" w:beforeAutospacing="1" w:after="100" w:afterAutospacing="1" w:line="219" w:lineRule="atLeast"/>
        <w:rPr>
          <w:rFonts w:ascii="Verdana" w:eastAsia="Times New Roman" w:hAnsi="Verdana" w:cs="Times New Roman"/>
          <w:color w:val="111111"/>
          <w:sz w:val="14"/>
          <w:szCs w:val="14"/>
          <w:shd w:val="clear" w:color="auto" w:fill="FFFFFF"/>
          <w:lang w:eastAsia="en-IN"/>
        </w:rPr>
      </w:pPr>
      <w:r w:rsidRPr="00B90035">
        <w:rPr>
          <w:rFonts w:ascii="Verdana" w:eastAsia="Times New Roman" w:hAnsi="Verdana" w:cs="Times New Roman"/>
          <w:color w:val="111111"/>
          <w:sz w:val="14"/>
          <w:szCs w:val="14"/>
          <w:shd w:val="clear" w:color="auto" w:fill="FFFFFF"/>
          <w:lang w:eastAsia="en-IN"/>
        </w:rPr>
        <w:t>Ensuring lines of credit and export finance to developing countries</w:t>
      </w:r>
    </w:p>
    <w:p w:rsidR="00B90035" w:rsidRPr="00B90035" w:rsidRDefault="00B90035" w:rsidP="00B90035">
      <w:pPr>
        <w:numPr>
          <w:ilvl w:val="0"/>
          <w:numId w:val="3"/>
        </w:numPr>
        <w:spacing w:before="100" w:beforeAutospacing="1" w:after="100" w:afterAutospacing="1" w:line="219" w:lineRule="atLeast"/>
        <w:rPr>
          <w:rFonts w:ascii="Verdana" w:eastAsia="Times New Roman" w:hAnsi="Verdana" w:cs="Times New Roman"/>
          <w:color w:val="111111"/>
          <w:sz w:val="14"/>
          <w:szCs w:val="14"/>
          <w:shd w:val="clear" w:color="auto" w:fill="FFFFFF"/>
          <w:lang w:eastAsia="en-IN"/>
        </w:rPr>
      </w:pPr>
      <w:r w:rsidRPr="00B90035">
        <w:rPr>
          <w:rFonts w:ascii="Verdana" w:eastAsia="Times New Roman" w:hAnsi="Verdana" w:cs="Times New Roman"/>
          <w:color w:val="111111"/>
          <w:sz w:val="14"/>
          <w:szCs w:val="14"/>
          <w:shd w:val="clear" w:color="auto" w:fill="FFFFFF"/>
          <w:lang w:eastAsia="en-IN"/>
        </w:rPr>
        <w:t>Checking any protectionist measures and</w:t>
      </w:r>
    </w:p>
    <w:p w:rsidR="00B90035" w:rsidRPr="00B90035" w:rsidRDefault="00B90035" w:rsidP="00B90035">
      <w:pPr>
        <w:numPr>
          <w:ilvl w:val="0"/>
          <w:numId w:val="3"/>
        </w:numPr>
        <w:spacing w:before="100" w:beforeAutospacing="1" w:after="100" w:afterAutospacing="1" w:line="219" w:lineRule="atLeast"/>
        <w:rPr>
          <w:rFonts w:ascii="Verdana" w:eastAsia="Times New Roman" w:hAnsi="Verdana" w:cs="Times New Roman"/>
          <w:color w:val="111111"/>
          <w:sz w:val="14"/>
          <w:szCs w:val="14"/>
          <w:shd w:val="clear" w:color="auto" w:fill="FFFFFF"/>
          <w:lang w:eastAsia="en-IN"/>
        </w:rPr>
      </w:pPr>
      <w:r w:rsidRPr="00B90035">
        <w:rPr>
          <w:rFonts w:ascii="Verdana" w:eastAsia="Times New Roman" w:hAnsi="Verdana" w:cs="Times New Roman"/>
          <w:color w:val="111111"/>
          <w:sz w:val="14"/>
          <w:szCs w:val="14"/>
          <w:shd w:val="clear" w:color="auto" w:fill="FFFFFF"/>
          <w:lang w:eastAsia="en-IN"/>
        </w:rPr>
        <w:t>Widening the current agenda to include developmental issues</w:t>
      </w:r>
    </w:p>
    <w:p w:rsidR="00B90035" w:rsidRDefault="00B90035" w:rsidP="00F57DBD">
      <w:pPr>
        <w:pStyle w:val="Heading3"/>
      </w:pPr>
      <w:r>
        <w:t>Challenges before G-20</w:t>
      </w:r>
    </w:p>
    <w:p w:rsidR="004C0830" w:rsidRDefault="004C0830" w:rsidP="004C0830">
      <w:pPr>
        <w:pStyle w:val="ListParagraph"/>
        <w:numPr>
          <w:ilvl w:val="0"/>
          <w:numId w:val="4"/>
        </w:numPr>
      </w:pPr>
      <w:r>
        <w:t>Implement what has already been committed in the previous summits</w:t>
      </w:r>
    </w:p>
    <w:p w:rsidR="00E53A27" w:rsidRDefault="00E53A27" w:rsidP="004C0830">
      <w:pPr>
        <w:pStyle w:val="ListParagraph"/>
        <w:numPr>
          <w:ilvl w:val="0"/>
          <w:numId w:val="4"/>
        </w:numPr>
      </w:pPr>
      <w:r>
        <w:t>Reconcile the differences between the developing and developed members</w:t>
      </w:r>
    </w:p>
    <w:p w:rsidR="00E53A27" w:rsidRDefault="00E53A27" w:rsidP="004C0830">
      <w:pPr>
        <w:pStyle w:val="ListParagraph"/>
        <w:numPr>
          <w:ilvl w:val="0"/>
          <w:numId w:val="4"/>
        </w:numPr>
      </w:pPr>
      <w:r>
        <w:t>Currency war and a stable monetary system</w:t>
      </w:r>
    </w:p>
    <w:p w:rsidR="00C37D44" w:rsidRDefault="00C37D44" w:rsidP="004C0830">
      <w:pPr>
        <w:pStyle w:val="ListParagraph"/>
        <w:numPr>
          <w:ilvl w:val="0"/>
          <w:numId w:val="4"/>
        </w:numPr>
      </w:pPr>
      <w:r>
        <w:t>India’s concern with Basel III: the stringent capital buffers proposed would be detrimental to the interests of developing countries</w:t>
      </w:r>
    </w:p>
    <w:p w:rsidR="00A941DF" w:rsidRDefault="00A941DF" w:rsidP="004C0830">
      <w:pPr>
        <w:pStyle w:val="ListParagraph"/>
        <w:numPr>
          <w:ilvl w:val="0"/>
          <w:numId w:val="4"/>
        </w:numPr>
      </w:pPr>
      <w:r>
        <w:t>Membership selection process for the sustainability of the G-20 grouping as a global policymaking forum</w:t>
      </w:r>
    </w:p>
    <w:p w:rsidR="00905E8E" w:rsidRDefault="00905E8E" w:rsidP="004C0830">
      <w:pPr>
        <w:pStyle w:val="ListParagraph"/>
        <w:numPr>
          <w:ilvl w:val="0"/>
          <w:numId w:val="4"/>
        </w:numPr>
      </w:pPr>
      <w:r>
        <w:t>A permanent body? &lt;Does not have a secretariat&gt;</w:t>
      </w:r>
    </w:p>
    <w:p w:rsidR="00121E94" w:rsidRDefault="00121E94" w:rsidP="004C0830">
      <w:pPr>
        <w:pStyle w:val="ListParagraph"/>
        <w:numPr>
          <w:ilvl w:val="0"/>
          <w:numId w:val="4"/>
        </w:numPr>
      </w:pPr>
      <w:r>
        <w:t>Reforms of IFIs</w:t>
      </w:r>
    </w:p>
    <w:p w:rsidR="008115F5" w:rsidRDefault="008115F5">
      <w:r>
        <w:br w:type="page"/>
      </w:r>
    </w:p>
    <w:p w:rsidR="008115F5" w:rsidRDefault="008115F5" w:rsidP="008115F5">
      <w:pPr>
        <w:pStyle w:val="Heading1"/>
      </w:pPr>
      <w:r>
        <w:lastRenderedPageBreak/>
        <w:t>IBSA Trilateral</w:t>
      </w:r>
    </w:p>
    <w:p w:rsidR="008115F5" w:rsidRDefault="0036188C" w:rsidP="0036188C">
      <w:pPr>
        <w:pStyle w:val="ListParagraph"/>
        <w:numPr>
          <w:ilvl w:val="0"/>
          <w:numId w:val="6"/>
        </w:numPr>
      </w:pPr>
      <w:r>
        <w:t xml:space="preserve">Trilateral developmental initiative between India, Brazil and </w:t>
      </w:r>
      <w:proofErr w:type="spellStart"/>
      <w:r>
        <w:t>S.Africa</w:t>
      </w:r>
      <w:proofErr w:type="spellEnd"/>
      <w:r>
        <w:t xml:space="preserve"> to promote </w:t>
      </w:r>
      <w:r w:rsidRPr="00970A5F">
        <w:rPr>
          <w:b/>
        </w:rPr>
        <w:t>South-South cooperation</w:t>
      </w:r>
      <w:r>
        <w:t xml:space="preserve"> and exchange</w:t>
      </w:r>
    </w:p>
    <w:p w:rsidR="009E7660" w:rsidRDefault="00CB62CD" w:rsidP="00CB62CD">
      <w:pPr>
        <w:pStyle w:val="ListParagraph"/>
        <w:numPr>
          <w:ilvl w:val="0"/>
          <w:numId w:val="6"/>
        </w:numPr>
      </w:pPr>
      <w:r>
        <w:t>2003 through the Brasilia Declaration</w:t>
      </w:r>
    </w:p>
    <w:p w:rsidR="00CB62CD" w:rsidRDefault="00CB62CD" w:rsidP="00CB62CD">
      <w:pPr>
        <w:pStyle w:val="ListParagraph"/>
        <w:numPr>
          <w:ilvl w:val="0"/>
          <w:numId w:val="6"/>
        </w:numPr>
      </w:pPr>
      <w:r>
        <w:t>Brasilia Declaration</w:t>
      </w:r>
    </w:p>
    <w:p w:rsidR="006053D9" w:rsidRDefault="006053D9" w:rsidP="00CB62CD">
      <w:pPr>
        <w:pStyle w:val="ListParagraph"/>
        <w:numPr>
          <w:ilvl w:val="1"/>
          <w:numId w:val="6"/>
        </w:numPr>
      </w:pPr>
      <w:r>
        <w:t>Three major reasons as the basis for closer cooperation: shared democratic credentials, developing country status and desire to act on a global scale</w:t>
      </w:r>
    </w:p>
    <w:p w:rsidR="00CB62CD" w:rsidRDefault="00CB62CD" w:rsidP="00CB62CD">
      <w:pPr>
        <w:pStyle w:val="ListParagraph"/>
        <w:numPr>
          <w:ilvl w:val="1"/>
          <w:numId w:val="6"/>
        </w:numPr>
      </w:pPr>
      <w:r>
        <w:t>Urgent need for reforms in the UN</w:t>
      </w:r>
    </w:p>
    <w:p w:rsidR="00CB62CD" w:rsidRDefault="00CB62CD" w:rsidP="00CB62CD">
      <w:pPr>
        <w:pStyle w:val="ListParagraph"/>
        <w:numPr>
          <w:ilvl w:val="1"/>
          <w:numId w:val="6"/>
        </w:numPr>
      </w:pPr>
      <w:r>
        <w:t>Touched upon subjects of international terrorism, trans-national crime and illegal arms dealing</w:t>
      </w:r>
    </w:p>
    <w:p w:rsidR="00CB62CD" w:rsidRDefault="00CB62CD" w:rsidP="00CB62CD">
      <w:pPr>
        <w:pStyle w:val="ListParagraph"/>
        <w:numPr>
          <w:ilvl w:val="0"/>
          <w:numId w:val="6"/>
        </w:numPr>
      </w:pPr>
      <w:r>
        <w:t>IBSA Dialogue Forum facilitates regular consultations at senior officials level, government levels as well as amongst members of civil society</w:t>
      </w:r>
    </w:p>
    <w:p w:rsidR="00CB62CD" w:rsidRDefault="002D625A" w:rsidP="00CB62CD">
      <w:pPr>
        <w:pStyle w:val="ListParagraph"/>
        <w:numPr>
          <w:ilvl w:val="0"/>
          <w:numId w:val="6"/>
        </w:numPr>
      </w:pPr>
      <w:r>
        <w:t>Summits</w:t>
      </w:r>
    </w:p>
    <w:p w:rsidR="002D625A" w:rsidRDefault="002D625A" w:rsidP="002D625A">
      <w:pPr>
        <w:pStyle w:val="ListParagraph"/>
        <w:numPr>
          <w:ilvl w:val="1"/>
          <w:numId w:val="6"/>
        </w:numPr>
      </w:pPr>
      <w:r>
        <w:t>2008: New Delhi</w:t>
      </w:r>
    </w:p>
    <w:p w:rsidR="002D625A" w:rsidRDefault="002D625A" w:rsidP="002D625A">
      <w:pPr>
        <w:pStyle w:val="ListParagraph"/>
        <w:numPr>
          <w:ilvl w:val="1"/>
          <w:numId w:val="6"/>
        </w:numPr>
      </w:pPr>
      <w:r>
        <w:t>2010: Brazil</w:t>
      </w:r>
    </w:p>
    <w:p w:rsidR="002D625A" w:rsidRDefault="002D625A" w:rsidP="002D625A">
      <w:pPr>
        <w:pStyle w:val="ListParagraph"/>
        <w:numPr>
          <w:ilvl w:val="1"/>
          <w:numId w:val="6"/>
        </w:numPr>
      </w:pPr>
      <w:r>
        <w:t>2011: South Africa (October)</w:t>
      </w:r>
    </w:p>
    <w:p w:rsidR="00970A5F" w:rsidRDefault="00970A5F" w:rsidP="00970A5F">
      <w:pPr>
        <w:pStyle w:val="ListParagraph"/>
        <w:numPr>
          <w:ilvl w:val="0"/>
          <w:numId w:val="6"/>
        </w:numPr>
      </w:pPr>
      <w:r>
        <w:t>Areas of cooperation</w:t>
      </w:r>
    </w:p>
    <w:p w:rsidR="00970A5F" w:rsidRDefault="00970A5F" w:rsidP="00970A5F">
      <w:pPr>
        <w:pStyle w:val="ListParagraph"/>
        <w:numPr>
          <w:ilvl w:val="1"/>
          <w:numId w:val="6"/>
        </w:numPr>
      </w:pPr>
      <w:r>
        <w:t xml:space="preserve">Agriculture, education, </w:t>
      </w:r>
      <w:r w:rsidR="006053D9">
        <w:t>energy, S&amp;T, Trade, Transport</w:t>
      </w:r>
    </w:p>
    <w:p w:rsidR="00ED24EC" w:rsidRDefault="00ED24EC" w:rsidP="00ED24EC">
      <w:pPr>
        <w:pStyle w:val="ListParagraph"/>
        <w:numPr>
          <w:ilvl w:val="0"/>
          <w:numId w:val="6"/>
        </w:numPr>
      </w:pPr>
      <w:r>
        <w:t>Importance for India</w:t>
      </w:r>
    </w:p>
    <w:p w:rsidR="00ED24EC" w:rsidRDefault="00ED24EC" w:rsidP="00ED24EC">
      <w:pPr>
        <w:pStyle w:val="ListParagraph"/>
        <w:numPr>
          <w:ilvl w:val="1"/>
          <w:numId w:val="6"/>
        </w:numPr>
      </w:pPr>
      <w:r>
        <w:t>Provides a platform for India to engage S. America and Africa constructively and its focus on socio-economic development allows India to firmly establish its credentials as a leading partner for Africa’s development</w:t>
      </w:r>
    </w:p>
    <w:p w:rsidR="00787D1E" w:rsidRDefault="00787D1E" w:rsidP="00ED24EC">
      <w:pPr>
        <w:pStyle w:val="ListParagraph"/>
        <w:numPr>
          <w:ilvl w:val="1"/>
          <w:numId w:val="6"/>
        </w:numPr>
      </w:pPr>
    </w:p>
    <w:p w:rsidR="00A41798" w:rsidRDefault="00A41798" w:rsidP="00A41798">
      <w:pPr>
        <w:pStyle w:val="ListParagraph"/>
        <w:numPr>
          <w:ilvl w:val="0"/>
          <w:numId w:val="6"/>
        </w:numPr>
      </w:pPr>
      <w:r>
        <w:t>Relevant after BRICS?</w:t>
      </w:r>
    </w:p>
    <w:p w:rsidR="00A41798" w:rsidRDefault="00A41798" w:rsidP="00A41798"/>
    <w:p w:rsidR="00A41798" w:rsidRDefault="00A41798" w:rsidP="00A41798"/>
    <w:p w:rsidR="00A41798" w:rsidRDefault="00A41798" w:rsidP="00A41798">
      <w:pPr>
        <w:pStyle w:val="Heading1"/>
      </w:pPr>
      <w:r>
        <w:t>BRICS</w:t>
      </w:r>
    </w:p>
    <w:p w:rsidR="00621F16" w:rsidRDefault="00621F16" w:rsidP="00787D1E">
      <w:pPr>
        <w:pStyle w:val="ListParagraph"/>
        <w:numPr>
          <w:ilvl w:val="0"/>
          <w:numId w:val="7"/>
        </w:numPr>
      </w:pPr>
    </w:p>
    <w:p w:rsidR="00A41798" w:rsidRDefault="00787D1E" w:rsidP="00787D1E">
      <w:pPr>
        <w:pStyle w:val="ListParagraph"/>
        <w:numPr>
          <w:ilvl w:val="0"/>
          <w:numId w:val="7"/>
        </w:numPr>
      </w:pPr>
      <w:r>
        <w:t>Inclusion of South Africa</w:t>
      </w:r>
    </w:p>
    <w:p w:rsidR="00787D1E" w:rsidRDefault="00787D1E" w:rsidP="00787D1E">
      <w:pPr>
        <w:pStyle w:val="ListParagraph"/>
        <w:numPr>
          <w:ilvl w:val="1"/>
          <w:numId w:val="7"/>
        </w:numPr>
      </w:pPr>
      <w:r>
        <w:t>Relevance of IBSA?</w:t>
      </w:r>
    </w:p>
    <w:p w:rsidR="00621F16" w:rsidRPr="00A41798" w:rsidRDefault="00621F16" w:rsidP="00787D1E">
      <w:pPr>
        <w:pStyle w:val="ListParagraph"/>
        <w:numPr>
          <w:ilvl w:val="1"/>
          <w:numId w:val="7"/>
        </w:numPr>
      </w:pPr>
    </w:p>
    <w:sectPr w:rsidR="00621F16" w:rsidRPr="00A41798" w:rsidSect="00117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AFF"/>
    <w:multiLevelType w:val="multilevel"/>
    <w:tmpl w:val="D104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C4480"/>
    <w:multiLevelType w:val="hybridMultilevel"/>
    <w:tmpl w:val="50847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12B600A"/>
    <w:multiLevelType w:val="hybridMultilevel"/>
    <w:tmpl w:val="564E86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91C684F"/>
    <w:multiLevelType w:val="hybridMultilevel"/>
    <w:tmpl w:val="DA489D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F373D8B"/>
    <w:multiLevelType w:val="hybridMultilevel"/>
    <w:tmpl w:val="892001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9293817"/>
    <w:multiLevelType w:val="hybridMultilevel"/>
    <w:tmpl w:val="206651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66A3219"/>
    <w:multiLevelType w:val="hybridMultilevel"/>
    <w:tmpl w:val="288603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56F66"/>
    <w:rsid w:val="000344C1"/>
    <w:rsid w:val="00117324"/>
    <w:rsid w:val="00121E94"/>
    <w:rsid w:val="00156F66"/>
    <w:rsid w:val="00166E88"/>
    <w:rsid w:val="0020514F"/>
    <w:rsid w:val="002D625A"/>
    <w:rsid w:val="00304665"/>
    <w:rsid w:val="0036188C"/>
    <w:rsid w:val="0039124C"/>
    <w:rsid w:val="003A6B35"/>
    <w:rsid w:val="003E491A"/>
    <w:rsid w:val="004979DB"/>
    <w:rsid w:val="004C0830"/>
    <w:rsid w:val="004C52EC"/>
    <w:rsid w:val="004E32AB"/>
    <w:rsid w:val="0050788A"/>
    <w:rsid w:val="00535DD0"/>
    <w:rsid w:val="0057636B"/>
    <w:rsid w:val="005B6F93"/>
    <w:rsid w:val="005C0490"/>
    <w:rsid w:val="005E6B06"/>
    <w:rsid w:val="005F5A1E"/>
    <w:rsid w:val="006053D9"/>
    <w:rsid w:val="00621F16"/>
    <w:rsid w:val="0064142D"/>
    <w:rsid w:val="00642617"/>
    <w:rsid w:val="00740E38"/>
    <w:rsid w:val="00787D1E"/>
    <w:rsid w:val="008115F5"/>
    <w:rsid w:val="0084457A"/>
    <w:rsid w:val="008476AD"/>
    <w:rsid w:val="00894120"/>
    <w:rsid w:val="00905E8E"/>
    <w:rsid w:val="00963BB6"/>
    <w:rsid w:val="00970A5F"/>
    <w:rsid w:val="009E7660"/>
    <w:rsid w:val="009F52B5"/>
    <w:rsid w:val="00A41798"/>
    <w:rsid w:val="00A941DF"/>
    <w:rsid w:val="00AE506E"/>
    <w:rsid w:val="00B7232F"/>
    <w:rsid w:val="00B90035"/>
    <w:rsid w:val="00C37D44"/>
    <w:rsid w:val="00CB62CD"/>
    <w:rsid w:val="00D13A97"/>
    <w:rsid w:val="00D16120"/>
    <w:rsid w:val="00D67F48"/>
    <w:rsid w:val="00DC7C45"/>
    <w:rsid w:val="00E53A27"/>
    <w:rsid w:val="00E97967"/>
    <w:rsid w:val="00ED24EC"/>
    <w:rsid w:val="00F22D89"/>
    <w:rsid w:val="00F57D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next w:val="Normal"/>
    <w:link w:val="Heading1Char"/>
    <w:uiPriority w:val="9"/>
    <w:qFormat/>
    <w:rsid w:val="00156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9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0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F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7967"/>
    <w:pPr>
      <w:ind w:left="720"/>
      <w:contextualSpacing/>
    </w:pPr>
  </w:style>
  <w:style w:type="character" w:customStyle="1" w:styleId="Heading2Char">
    <w:name w:val="Heading 2 Char"/>
    <w:basedOn w:val="DefaultParagraphFont"/>
    <w:link w:val="Heading2"/>
    <w:uiPriority w:val="9"/>
    <w:rsid w:val="003E491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0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0788A"/>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9003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613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38</cp:revision>
  <dcterms:created xsi:type="dcterms:W3CDTF">2011-07-22T16:01:00Z</dcterms:created>
  <dcterms:modified xsi:type="dcterms:W3CDTF">2011-09-23T06:35:00Z</dcterms:modified>
</cp:coreProperties>
</file>